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8F3" w:rsidRDefault="00BC68F3" w:rsidP="00BC68F3">
      <w:pPr>
        <w:pStyle w:val="Heading3"/>
        <w:ind w:left="1771" w:right="1782"/>
      </w:pPr>
      <w:r>
        <w:t>Veer Narmad South Gujarat University</w:t>
      </w:r>
    </w:p>
    <w:p w:rsidR="00BC68F3" w:rsidRDefault="00BC68F3" w:rsidP="00BC68F3">
      <w:pPr>
        <w:pStyle w:val="Heading4"/>
        <w:ind w:left="1771" w:right="1766"/>
      </w:pPr>
      <w:bookmarkStart w:id="0" w:name="_bookmark8"/>
      <w:bookmarkEnd w:id="0"/>
      <w:r>
        <w:t>203–Accounting for Managers</w:t>
      </w:r>
    </w:p>
    <w:p w:rsidR="00BC68F3" w:rsidRDefault="00BC68F3" w:rsidP="00BC68F3">
      <w:pPr>
        <w:pStyle w:val="Heading6"/>
        <w:tabs>
          <w:tab w:val="left" w:pos="5207"/>
        </w:tabs>
        <w:ind w:left="160"/>
      </w:pPr>
      <w:r>
        <w:t>First Year</w:t>
      </w:r>
      <w:r>
        <w:rPr>
          <w:spacing w:val="-8"/>
        </w:rPr>
        <w:t xml:space="preserve"> </w:t>
      </w:r>
      <w:r>
        <w:t>BBA</w:t>
      </w:r>
      <w:r w:rsidR="0050422C">
        <w:t xml:space="preserve"> </w:t>
      </w:r>
      <w:r>
        <w:t>(Semester</w:t>
      </w:r>
      <w:r>
        <w:rPr>
          <w:spacing w:val="1"/>
        </w:rPr>
        <w:t xml:space="preserve"> </w:t>
      </w:r>
      <w:r>
        <w:t>2)</w:t>
      </w:r>
      <w:r>
        <w:tab/>
        <w:t>With Effect from</w:t>
      </w:r>
      <w:r>
        <w:rPr>
          <w:spacing w:val="2"/>
        </w:rPr>
        <w:t xml:space="preserve"> </w:t>
      </w:r>
      <w:r>
        <w:t>AY2019-20</w:t>
      </w:r>
    </w:p>
    <w:p w:rsidR="00BC68F3" w:rsidRDefault="00BC68F3" w:rsidP="00BC68F3">
      <w:pPr>
        <w:pStyle w:val="BodyText"/>
        <w:spacing w:before="6"/>
        <w:rPr>
          <w:b/>
          <w:sz w:val="21"/>
        </w:rPr>
      </w:pPr>
    </w:p>
    <w:p w:rsidR="00BC68F3" w:rsidRDefault="00BC68F3" w:rsidP="00BC68F3">
      <w:pPr>
        <w:pStyle w:val="Heading7"/>
        <w:ind w:left="160"/>
      </w:pPr>
      <w:r>
        <w:t>Objective of the course:</w:t>
      </w:r>
    </w:p>
    <w:p w:rsidR="00BC68F3" w:rsidRDefault="00BC68F3" w:rsidP="00BC68F3">
      <w:pPr>
        <w:pStyle w:val="BodyText"/>
        <w:spacing w:before="3"/>
        <w:rPr>
          <w:b/>
          <w:sz w:val="20"/>
        </w:rPr>
      </w:pPr>
    </w:p>
    <w:p w:rsidR="00BC68F3" w:rsidRDefault="00BC68F3" w:rsidP="00BC68F3">
      <w:pPr>
        <w:pStyle w:val="ListParagraph"/>
        <w:numPr>
          <w:ilvl w:val="2"/>
          <w:numId w:val="2"/>
        </w:numPr>
        <w:tabs>
          <w:tab w:val="left" w:pos="880"/>
          <w:tab w:val="left" w:pos="881"/>
        </w:tabs>
        <w:ind w:left="881"/>
        <w:rPr>
          <w:rFonts w:ascii="Symbol" w:hAnsi="Symbol"/>
          <w:sz w:val="24"/>
        </w:rPr>
      </w:pPr>
      <w:r>
        <w:rPr>
          <w:sz w:val="24"/>
        </w:rPr>
        <w:t>To acquaint the students with the concept of</w:t>
      </w:r>
      <w:r>
        <w:rPr>
          <w:spacing w:val="-16"/>
          <w:sz w:val="24"/>
        </w:rPr>
        <w:t xml:space="preserve"> </w:t>
      </w:r>
      <w:r>
        <w:rPr>
          <w:sz w:val="24"/>
        </w:rPr>
        <w:t>management</w:t>
      </w:r>
      <w:r w:rsidR="0050422C">
        <w:rPr>
          <w:sz w:val="24"/>
        </w:rPr>
        <w:t xml:space="preserve"> </w:t>
      </w:r>
      <w:r>
        <w:rPr>
          <w:sz w:val="24"/>
        </w:rPr>
        <w:t>accountancy</w:t>
      </w:r>
    </w:p>
    <w:p w:rsidR="00BC68F3" w:rsidRDefault="00BC68F3" w:rsidP="00BC68F3">
      <w:pPr>
        <w:pStyle w:val="ListParagraph"/>
        <w:numPr>
          <w:ilvl w:val="2"/>
          <w:numId w:val="2"/>
        </w:numPr>
        <w:tabs>
          <w:tab w:val="left" w:pos="880"/>
          <w:tab w:val="left" w:pos="881"/>
        </w:tabs>
        <w:spacing w:before="40" w:line="271" w:lineRule="auto"/>
        <w:ind w:right="678" w:hanging="365"/>
        <w:rPr>
          <w:rFonts w:ascii="Symbol" w:hAnsi="Symbol"/>
          <w:sz w:val="24"/>
        </w:rPr>
      </w:pPr>
      <w:r>
        <w:rPr>
          <w:sz w:val="24"/>
        </w:rPr>
        <w:t>To</w:t>
      </w:r>
      <w:r w:rsidR="0050422C">
        <w:rPr>
          <w:sz w:val="24"/>
        </w:rPr>
        <w:t xml:space="preserve"> </w:t>
      </w:r>
      <w:r>
        <w:rPr>
          <w:sz w:val="24"/>
        </w:rPr>
        <w:t>develop</w:t>
      </w:r>
      <w:r w:rsidR="0050422C">
        <w:rPr>
          <w:sz w:val="24"/>
        </w:rPr>
        <w:t xml:space="preserve"> </w:t>
      </w:r>
      <w:r>
        <w:rPr>
          <w:sz w:val="24"/>
        </w:rPr>
        <w:t>the</w:t>
      </w:r>
      <w:r w:rsidR="0050422C">
        <w:rPr>
          <w:sz w:val="24"/>
        </w:rPr>
        <w:t xml:space="preserve"> </w:t>
      </w:r>
      <w:r>
        <w:rPr>
          <w:sz w:val="24"/>
        </w:rPr>
        <w:t>ability</w:t>
      </w:r>
      <w:r w:rsidR="0050422C">
        <w:rPr>
          <w:sz w:val="24"/>
        </w:rPr>
        <w:t xml:space="preserve"> </w:t>
      </w:r>
      <w:r>
        <w:rPr>
          <w:sz w:val="24"/>
        </w:rPr>
        <w:t>to</w:t>
      </w:r>
      <w:r w:rsidR="0050422C">
        <w:rPr>
          <w:sz w:val="24"/>
        </w:rPr>
        <w:t xml:space="preserve"> </w:t>
      </w:r>
      <w:r>
        <w:rPr>
          <w:sz w:val="24"/>
        </w:rPr>
        <w:t>evaluate</w:t>
      </w:r>
      <w:r w:rsidR="0050422C">
        <w:rPr>
          <w:sz w:val="24"/>
        </w:rPr>
        <w:t xml:space="preserve"> </w:t>
      </w:r>
      <w:r>
        <w:rPr>
          <w:sz w:val="24"/>
        </w:rPr>
        <w:t>and use</w:t>
      </w:r>
      <w:r w:rsidR="0050422C">
        <w:rPr>
          <w:sz w:val="24"/>
        </w:rPr>
        <w:t xml:space="preserve"> </w:t>
      </w:r>
      <w:r>
        <w:rPr>
          <w:sz w:val="24"/>
        </w:rPr>
        <w:t>accounting</w:t>
      </w:r>
      <w:r w:rsidR="0050422C">
        <w:rPr>
          <w:sz w:val="24"/>
        </w:rPr>
        <w:t xml:space="preserve"> </w:t>
      </w:r>
      <w:r>
        <w:rPr>
          <w:sz w:val="24"/>
        </w:rPr>
        <w:t>data</w:t>
      </w:r>
      <w:r w:rsidR="0050422C">
        <w:rPr>
          <w:sz w:val="24"/>
        </w:rPr>
        <w:t xml:space="preserve"> </w:t>
      </w:r>
      <w:r>
        <w:rPr>
          <w:sz w:val="24"/>
        </w:rPr>
        <w:t>to</w:t>
      </w:r>
      <w:r w:rsidR="0050422C">
        <w:rPr>
          <w:sz w:val="24"/>
        </w:rPr>
        <w:t xml:space="preserve"> </w:t>
      </w:r>
      <w:r>
        <w:rPr>
          <w:sz w:val="24"/>
        </w:rPr>
        <w:t>aid</w:t>
      </w:r>
      <w:r w:rsidR="0050422C">
        <w:rPr>
          <w:sz w:val="24"/>
        </w:rPr>
        <w:t xml:space="preserve"> </w:t>
      </w:r>
      <w:r>
        <w:rPr>
          <w:sz w:val="24"/>
        </w:rPr>
        <w:t>in</w:t>
      </w:r>
      <w:r w:rsidR="0050422C">
        <w:rPr>
          <w:sz w:val="24"/>
        </w:rPr>
        <w:t xml:space="preserve"> </w:t>
      </w:r>
      <w:r>
        <w:rPr>
          <w:sz w:val="24"/>
        </w:rPr>
        <w:t>decision</w:t>
      </w:r>
      <w:r w:rsidR="0050422C">
        <w:rPr>
          <w:sz w:val="24"/>
        </w:rPr>
        <w:t xml:space="preserve"> </w:t>
      </w:r>
      <w:r>
        <w:rPr>
          <w:sz w:val="24"/>
        </w:rPr>
        <w:t>making</w:t>
      </w:r>
      <w:r>
        <w:rPr>
          <w:spacing w:val="-31"/>
          <w:sz w:val="24"/>
        </w:rPr>
        <w:t xml:space="preserve"> </w:t>
      </w:r>
      <w:r>
        <w:rPr>
          <w:sz w:val="24"/>
        </w:rPr>
        <w:t>for management as</w:t>
      </w:r>
      <w:r>
        <w:rPr>
          <w:spacing w:val="-2"/>
          <w:sz w:val="24"/>
        </w:rPr>
        <w:t xml:space="preserve"> </w:t>
      </w:r>
      <w:r>
        <w:rPr>
          <w:sz w:val="24"/>
        </w:rPr>
        <w:t>a</w:t>
      </w:r>
      <w:r w:rsidR="0050422C">
        <w:rPr>
          <w:sz w:val="24"/>
        </w:rPr>
        <w:t xml:space="preserve"> </w:t>
      </w:r>
      <w:r>
        <w:rPr>
          <w:sz w:val="24"/>
        </w:rPr>
        <w:t>whole</w:t>
      </w:r>
    </w:p>
    <w:p w:rsidR="00BC68F3" w:rsidRDefault="00BC68F3" w:rsidP="00BC68F3">
      <w:pPr>
        <w:pStyle w:val="Heading7"/>
        <w:spacing w:before="211"/>
        <w:ind w:left="160"/>
      </w:pPr>
      <w:r>
        <w:t>Pedagogy</w:t>
      </w:r>
    </w:p>
    <w:p w:rsidR="00BC68F3" w:rsidRDefault="00BC68F3" w:rsidP="00BC68F3">
      <w:pPr>
        <w:pStyle w:val="BodyText"/>
        <w:spacing w:before="1"/>
        <w:rPr>
          <w:b/>
          <w:sz w:val="20"/>
        </w:rPr>
      </w:pPr>
    </w:p>
    <w:p w:rsidR="00BC68F3" w:rsidRDefault="00BC68F3" w:rsidP="00BC68F3">
      <w:pPr>
        <w:pStyle w:val="BodyText"/>
        <w:ind w:left="160"/>
      </w:pPr>
      <w:r>
        <w:t>Lectures, Numerical examples and case study</w:t>
      </w:r>
    </w:p>
    <w:p w:rsidR="00BC68F3" w:rsidRDefault="00BC68F3" w:rsidP="00BC68F3">
      <w:pPr>
        <w:pStyle w:val="BodyText"/>
        <w:rPr>
          <w:sz w:val="20"/>
        </w:rPr>
      </w:pPr>
    </w:p>
    <w:p w:rsidR="00BC68F3" w:rsidRDefault="00BC68F3" w:rsidP="00BC68F3">
      <w:pPr>
        <w:spacing w:before="1"/>
        <w:ind w:left="160"/>
        <w:rPr>
          <w:b/>
          <w:sz w:val="24"/>
        </w:rPr>
      </w:pPr>
      <w:r>
        <w:rPr>
          <w:b/>
          <w:sz w:val="24"/>
          <w:u w:val="single"/>
        </w:rPr>
        <w:t>Course Content</w:t>
      </w:r>
    </w:p>
    <w:p w:rsidR="00BC68F3" w:rsidRDefault="00BC68F3" w:rsidP="00BC68F3">
      <w:pPr>
        <w:pStyle w:val="BodyText"/>
        <w:spacing w:before="10"/>
        <w:rPr>
          <w:b/>
          <w:sz w:val="15"/>
        </w:rPr>
      </w:pPr>
    </w:p>
    <w:p w:rsidR="00BC68F3" w:rsidRDefault="00BC68F3" w:rsidP="00BC68F3">
      <w:pPr>
        <w:tabs>
          <w:tab w:val="left" w:pos="8088"/>
        </w:tabs>
        <w:spacing w:before="51"/>
        <w:ind w:left="160"/>
        <w:rPr>
          <w:b/>
          <w:sz w:val="24"/>
        </w:rPr>
      </w:pPr>
      <w:r>
        <w:rPr>
          <w:b/>
          <w:sz w:val="24"/>
        </w:rPr>
        <w:t>Unit 1 Introduction of</w:t>
      </w:r>
      <w:r>
        <w:rPr>
          <w:b/>
          <w:spacing w:val="-19"/>
          <w:sz w:val="24"/>
        </w:rPr>
        <w:t xml:space="preserve"> </w:t>
      </w:r>
      <w:r>
        <w:rPr>
          <w:b/>
          <w:sz w:val="24"/>
        </w:rPr>
        <w:t>Management</w:t>
      </w:r>
      <w:r>
        <w:rPr>
          <w:b/>
          <w:spacing w:val="-6"/>
          <w:sz w:val="24"/>
        </w:rPr>
        <w:t xml:space="preserve"> </w:t>
      </w:r>
      <w:r>
        <w:rPr>
          <w:b/>
          <w:sz w:val="24"/>
        </w:rPr>
        <w:t>and</w:t>
      </w:r>
      <w:r w:rsidR="0050422C">
        <w:rPr>
          <w:b/>
          <w:sz w:val="24"/>
        </w:rPr>
        <w:t xml:space="preserve"> </w:t>
      </w:r>
      <w:r>
        <w:rPr>
          <w:b/>
          <w:sz w:val="24"/>
        </w:rPr>
        <w:t>Cost</w:t>
      </w:r>
      <w:r w:rsidR="0050422C">
        <w:rPr>
          <w:b/>
          <w:sz w:val="24"/>
        </w:rPr>
        <w:t xml:space="preserve"> </w:t>
      </w:r>
      <w:r>
        <w:rPr>
          <w:b/>
          <w:sz w:val="24"/>
        </w:rPr>
        <w:t>Accounting</w:t>
      </w:r>
      <w:r>
        <w:rPr>
          <w:b/>
          <w:sz w:val="24"/>
        </w:rPr>
        <w:tab/>
        <w:t>(10%)</w:t>
      </w:r>
    </w:p>
    <w:p w:rsidR="00BC68F3" w:rsidRDefault="00BC68F3" w:rsidP="00BC68F3">
      <w:pPr>
        <w:pStyle w:val="BodyText"/>
        <w:spacing w:before="1"/>
        <w:rPr>
          <w:b/>
          <w:sz w:val="20"/>
        </w:rPr>
      </w:pPr>
    </w:p>
    <w:p w:rsidR="00BC68F3" w:rsidRDefault="00BC68F3" w:rsidP="00BC68F3">
      <w:pPr>
        <w:pStyle w:val="BodyText"/>
        <w:spacing w:line="276" w:lineRule="auto"/>
        <w:ind w:left="160" w:right="166"/>
        <w:jc w:val="both"/>
      </w:pPr>
      <w:r>
        <w:t>Conceptual and meaning of Management Accounting (MA) and Cost Accounting (CA), advantages and limitations of MA and CA, difference between management accounting with financial and cost accounting, scope of management accounting, role of management accounting.</w:t>
      </w:r>
    </w:p>
    <w:p w:rsidR="00BC68F3" w:rsidRDefault="00BC68F3" w:rsidP="00BC68F3">
      <w:pPr>
        <w:pStyle w:val="Heading7"/>
        <w:tabs>
          <w:tab w:val="left" w:pos="8088"/>
        </w:tabs>
        <w:spacing w:before="198"/>
        <w:ind w:left="160"/>
      </w:pPr>
      <w:bookmarkStart w:id="1" w:name="Unit_2:_Analysis_and_interpretation_offi"/>
      <w:bookmarkEnd w:id="1"/>
      <w:r>
        <w:t>Unit 2: Analysis and</w:t>
      </w:r>
      <w:r>
        <w:rPr>
          <w:spacing w:val="-19"/>
        </w:rPr>
        <w:t xml:space="preserve"> </w:t>
      </w:r>
      <w:r>
        <w:t>interpretation</w:t>
      </w:r>
      <w:r>
        <w:rPr>
          <w:spacing w:val="-3"/>
        </w:rPr>
        <w:t xml:space="preserve"> </w:t>
      </w:r>
      <w:r>
        <w:t>of</w:t>
      </w:r>
      <w:r w:rsidR="0050422C">
        <w:t xml:space="preserve"> </w:t>
      </w:r>
      <w:r>
        <w:t>financial</w:t>
      </w:r>
      <w:r w:rsidR="0050422C">
        <w:t xml:space="preserve"> </w:t>
      </w:r>
      <w:r>
        <w:t>statement</w:t>
      </w:r>
      <w:r>
        <w:tab/>
        <w:t>(35%)</w:t>
      </w:r>
    </w:p>
    <w:p w:rsidR="00BC68F3" w:rsidRDefault="00BC68F3" w:rsidP="00BC68F3">
      <w:pPr>
        <w:pStyle w:val="BodyText"/>
        <w:spacing w:before="1"/>
        <w:rPr>
          <w:b/>
          <w:sz w:val="20"/>
        </w:rPr>
      </w:pPr>
    </w:p>
    <w:p w:rsidR="00BC68F3" w:rsidRDefault="00BC68F3" w:rsidP="00BC68F3">
      <w:pPr>
        <w:pStyle w:val="BodyText"/>
        <w:spacing w:line="276" w:lineRule="auto"/>
        <w:ind w:left="160" w:right="164"/>
        <w:jc w:val="both"/>
      </w:pPr>
      <w:r>
        <w:t>Advantages and limitations of financial statement analysis, techniques of financial statement analysis: comparative financial statement, common size statement and trend percentage,</w:t>
      </w:r>
    </w:p>
    <w:p w:rsidR="00BC68F3" w:rsidRDefault="00BC68F3" w:rsidP="00BC68F3">
      <w:pPr>
        <w:pStyle w:val="BodyText"/>
        <w:spacing w:before="199" w:line="276" w:lineRule="auto"/>
        <w:ind w:left="160" w:right="154"/>
        <w:jc w:val="both"/>
      </w:pPr>
      <w:r>
        <w:rPr>
          <w:b/>
        </w:rPr>
        <w:t>Ratio analysis:</w:t>
      </w:r>
      <w:r w:rsidR="0050422C">
        <w:rPr>
          <w:b/>
        </w:rPr>
        <w:t xml:space="preserve"> </w:t>
      </w:r>
      <w:r>
        <w:t xml:space="preserve">Advantages and limitation of ratio analysis, </w:t>
      </w:r>
      <w:r>
        <w:rPr>
          <w:b/>
        </w:rPr>
        <w:t xml:space="preserve">Liquidity and solvency ratio: </w:t>
      </w:r>
      <w:r>
        <w:t xml:space="preserve">current ratio, liquid ratio, acid test ratio, proprietary ratio, debt-equity ratio, capital gearing ratio, fixed assets to proprietary ratio, long term funds to fixed assets ratio, </w:t>
      </w:r>
      <w:r>
        <w:rPr>
          <w:b/>
        </w:rPr>
        <w:t xml:space="preserve">Profitability ratio: </w:t>
      </w:r>
      <w:r>
        <w:t>gross profit ratio, net profit ratio, return on capital employed ratio, return on shareholder’s fund,</w:t>
      </w:r>
      <w:r w:rsidR="0050422C">
        <w:t xml:space="preserve"> </w:t>
      </w:r>
      <w:r>
        <w:rPr>
          <w:b/>
        </w:rPr>
        <w:t xml:space="preserve">Efficiency ratio: </w:t>
      </w:r>
      <w:r>
        <w:t>stock turnover ratio, debtors ratio, creditors ratio, operating ratio</w:t>
      </w:r>
    </w:p>
    <w:p w:rsidR="00BC68F3" w:rsidRDefault="00BC68F3" w:rsidP="00BC68F3">
      <w:pPr>
        <w:pStyle w:val="Heading7"/>
        <w:tabs>
          <w:tab w:val="left" w:pos="8088"/>
        </w:tabs>
        <w:spacing w:before="202"/>
        <w:ind w:left="160"/>
      </w:pPr>
      <w:bookmarkStart w:id="2" w:name="Unit_3:_FundFlowAnalysis_(15%)"/>
      <w:bookmarkEnd w:id="2"/>
      <w:r>
        <w:t>Unit</w:t>
      </w:r>
      <w:r>
        <w:rPr>
          <w:spacing w:val="-7"/>
        </w:rPr>
        <w:t xml:space="preserve"> </w:t>
      </w:r>
      <w:r>
        <w:t>3:</w:t>
      </w:r>
      <w:r>
        <w:rPr>
          <w:spacing w:val="-3"/>
        </w:rPr>
        <w:t xml:space="preserve"> </w:t>
      </w:r>
      <w:r>
        <w:t>Fund</w:t>
      </w:r>
      <w:r w:rsidR="0050422C">
        <w:t xml:space="preserve"> </w:t>
      </w:r>
      <w:r>
        <w:t>Flow</w:t>
      </w:r>
      <w:r w:rsidR="0050422C">
        <w:t xml:space="preserve"> </w:t>
      </w:r>
      <w:r>
        <w:t>Analysis</w:t>
      </w:r>
      <w:r>
        <w:tab/>
        <w:t>(15%)</w:t>
      </w:r>
    </w:p>
    <w:p w:rsidR="00BC68F3" w:rsidRDefault="00BC68F3" w:rsidP="00BC68F3">
      <w:pPr>
        <w:pStyle w:val="BodyText"/>
        <w:rPr>
          <w:b/>
          <w:sz w:val="20"/>
        </w:rPr>
      </w:pPr>
    </w:p>
    <w:p w:rsidR="00BC68F3" w:rsidRDefault="00BC68F3" w:rsidP="00BC68F3">
      <w:pPr>
        <w:pStyle w:val="BodyText"/>
        <w:spacing w:line="276" w:lineRule="auto"/>
        <w:ind w:left="160" w:right="176"/>
        <w:jc w:val="both"/>
      </w:pPr>
      <w:r>
        <w:t>Preparation of statement showing changes in working capital, preparation of fund flow statement (Including additional information), and adjusted profit and loss account</w:t>
      </w:r>
    </w:p>
    <w:p w:rsidR="00BC68F3" w:rsidRDefault="00BC68F3" w:rsidP="00BC68F3">
      <w:pPr>
        <w:pStyle w:val="Heading7"/>
        <w:tabs>
          <w:tab w:val="left" w:pos="8088"/>
        </w:tabs>
        <w:spacing w:before="29"/>
        <w:ind w:left="160"/>
      </w:pPr>
      <w:bookmarkStart w:id="3" w:name="Unit_4:_Budget_andBudgetaryControl_(20%)"/>
      <w:bookmarkEnd w:id="3"/>
      <w:r>
        <w:t>Unit 4:</w:t>
      </w:r>
      <w:r>
        <w:rPr>
          <w:spacing w:val="-7"/>
        </w:rPr>
        <w:t xml:space="preserve"> </w:t>
      </w:r>
      <w:r>
        <w:t>Budget</w:t>
      </w:r>
      <w:r>
        <w:rPr>
          <w:spacing w:val="-5"/>
        </w:rPr>
        <w:t xml:space="preserve"> </w:t>
      </w:r>
      <w:r>
        <w:t>and</w:t>
      </w:r>
      <w:r w:rsidR="0050422C">
        <w:t xml:space="preserve"> </w:t>
      </w:r>
      <w:r>
        <w:t>Budgetary</w:t>
      </w:r>
      <w:r w:rsidR="0050422C">
        <w:t xml:space="preserve"> </w:t>
      </w:r>
      <w:r>
        <w:t>Control</w:t>
      </w:r>
      <w:r>
        <w:tab/>
        <w:t>(20%)</w:t>
      </w:r>
    </w:p>
    <w:p w:rsidR="00BC68F3" w:rsidRDefault="00BC68F3" w:rsidP="00BC68F3">
      <w:pPr>
        <w:pStyle w:val="BodyText"/>
        <w:rPr>
          <w:b/>
          <w:sz w:val="20"/>
        </w:rPr>
      </w:pPr>
    </w:p>
    <w:p w:rsidR="00BC68F3" w:rsidRDefault="00BC68F3" w:rsidP="00BC68F3">
      <w:pPr>
        <w:pStyle w:val="BodyText"/>
        <w:spacing w:before="1" w:line="276" w:lineRule="auto"/>
        <w:ind w:left="160" w:right="174"/>
        <w:jc w:val="both"/>
      </w:pPr>
      <w:r>
        <w:t xml:space="preserve">Meaning, significance and limitations of budgetary control, cash budget, flexible budget </w:t>
      </w:r>
      <w:r>
        <w:lastRenderedPageBreak/>
        <w:t>and zero based budgeting,</w:t>
      </w:r>
    </w:p>
    <w:p w:rsidR="00BC68F3" w:rsidRDefault="00BC68F3" w:rsidP="00BC68F3">
      <w:pPr>
        <w:pStyle w:val="Heading7"/>
        <w:tabs>
          <w:tab w:val="left" w:pos="8088"/>
        </w:tabs>
        <w:spacing w:before="200"/>
        <w:ind w:left="160"/>
      </w:pPr>
      <w:bookmarkStart w:id="4" w:name="_bookmark9"/>
      <w:bookmarkEnd w:id="4"/>
      <w:r>
        <w:t>Unit 5: Cost –Volume-Profit</w:t>
      </w:r>
      <w:r>
        <w:rPr>
          <w:spacing w:val="-13"/>
        </w:rPr>
        <w:t xml:space="preserve"> </w:t>
      </w:r>
      <w:r>
        <w:t>Analysis</w:t>
      </w:r>
      <w:r>
        <w:rPr>
          <w:spacing w:val="-4"/>
        </w:rPr>
        <w:t xml:space="preserve"> </w:t>
      </w:r>
      <w:r>
        <w:t>and</w:t>
      </w:r>
      <w:r w:rsidR="0050422C">
        <w:t xml:space="preserve"> </w:t>
      </w:r>
      <w:r>
        <w:t>Decision</w:t>
      </w:r>
      <w:r w:rsidR="0050422C">
        <w:t xml:space="preserve"> </w:t>
      </w:r>
      <w:r>
        <w:t>Making</w:t>
      </w:r>
      <w:r>
        <w:tab/>
        <w:t>(20%)</w:t>
      </w:r>
    </w:p>
    <w:p w:rsidR="00BC68F3" w:rsidRDefault="00BC68F3" w:rsidP="00BC68F3">
      <w:pPr>
        <w:pStyle w:val="BodyText"/>
        <w:rPr>
          <w:b/>
          <w:sz w:val="20"/>
        </w:rPr>
      </w:pPr>
    </w:p>
    <w:p w:rsidR="00BC68F3" w:rsidRDefault="00BC68F3" w:rsidP="00BC68F3">
      <w:pPr>
        <w:pStyle w:val="BodyText"/>
        <w:spacing w:before="1" w:line="276" w:lineRule="auto"/>
        <w:ind w:left="160" w:right="165"/>
        <w:jc w:val="both"/>
      </w:pPr>
      <w:r>
        <w:t>Meaning and Significance of marginal costing, break even analysis (example including one key factor), differential cost, relative cost, analysis through case study in the following decision making areas: Make or buy decision, lease or buy, determination of product mix, adding or dropping a product line and expand or contract.</w:t>
      </w:r>
    </w:p>
    <w:p w:rsidR="00BC68F3" w:rsidRDefault="00BC68F3" w:rsidP="00BC68F3">
      <w:pPr>
        <w:pStyle w:val="Heading7"/>
        <w:spacing w:before="193"/>
        <w:ind w:left="160"/>
      </w:pPr>
      <w:r>
        <w:t>Suggested Readings:</w:t>
      </w:r>
    </w:p>
    <w:p w:rsidR="00BC68F3" w:rsidRDefault="00BC68F3" w:rsidP="00BC68F3">
      <w:pPr>
        <w:pStyle w:val="BodyText"/>
        <w:spacing w:before="5"/>
        <w:rPr>
          <w:b/>
          <w:sz w:val="20"/>
        </w:rPr>
      </w:pPr>
    </w:p>
    <w:p w:rsidR="00BC68F3" w:rsidRDefault="00BC68F3" w:rsidP="00BC68F3">
      <w:pPr>
        <w:pStyle w:val="ListParagraph"/>
        <w:numPr>
          <w:ilvl w:val="0"/>
          <w:numId w:val="1"/>
        </w:numPr>
        <w:tabs>
          <w:tab w:val="left" w:pos="886"/>
        </w:tabs>
        <w:ind w:hanging="366"/>
        <w:rPr>
          <w:i/>
          <w:sz w:val="24"/>
        </w:rPr>
      </w:pPr>
      <w:r>
        <w:rPr>
          <w:i/>
          <w:sz w:val="24"/>
        </w:rPr>
        <w:t>M. N. Arora, Cost and Management Accounting, Himalaya</w:t>
      </w:r>
      <w:r>
        <w:rPr>
          <w:i/>
          <w:spacing w:val="-18"/>
          <w:sz w:val="24"/>
        </w:rPr>
        <w:t xml:space="preserve"> </w:t>
      </w:r>
      <w:r>
        <w:rPr>
          <w:i/>
          <w:sz w:val="24"/>
        </w:rPr>
        <w:t>Publication</w:t>
      </w:r>
      <w:r w:rsidR="0050422C">
        <w:rPr>
          <w:i/>
          <w:sz w:val="24"/>
        </w:rPr>
        <w:t xml:space="preserve"> </w:t>
      </w:r>
      <w:r>
        <w:rPr>
          <w:i/>
          <w:sz w:val="24"/>
        </w:rPr>
        <w:t>House</w:t>
      </w:r>
    </w:p>
    <w:p w:rsidR="00BC68F3" w:rsidRDefault="00BC68F3" w:rsidP="00BC68F3">
      <w:pPr>
        <w:pStyle w:val="ListParagraph"/>
        <w:numPr>
          <w:ilvl w:val="0"/>
          <w:numId w:val="1"/>
        </w:numPr>
        <w:tabs>
          <w:tab w:val="left" w:pos="886"/>
        </w:tabs>
        <w:spacing w:before="150"/>
        <w:ind w:hanging="366"/>
        <w:rPr>
          <w:i/>
          <w:sz w:val="24"/>
        </w:rPr>
      </w:pPr>
      <w:r>
        <w:rPr>
          <w:i/>
          <w:sz w:val="24"/>
        </w:rPr>
        <w:t>Ravi M. Kishore, Cost and Management Accounting,</w:t>
      </w:r>
      <w:r>
        <w:rPr>
          <w:i/>
          <w:spacing w:val="-16"/>
          <w:sz w:val="24"/>
        </w:rPr>
        <w:t xml:space="preserve"> </w:t>
      </w:r>
      <w:r>
        <w:rPr>
          <w:i/>
          <w:sz w:val="24"/>
        </w:rPr>
        <w:t>Taxmann</w:t>
      </w:r>
      <w:r w:rsidR="0050422C">
        <w:rPr>
          <w:i/>
          <w:sz w:val="24"/>
        </w:rPr>
        <w:t xml:space="preserve"> </w:t>
      </w:r>
      <w:r>
        <w:rPr>
          <w:i/>
          <w:sz w:val="24"/>
        </w:rPr>
        <w:t>Publication</w:t>
      </w:r>
    </w:p>
    <w:p w:rsidR="00BC68F3" w:rsidRDefault="00BC68F3" w:rsidP="00BC68F3">
      <w:pPr>
        <w:pStyle w:val="ListParagraph"/>
        <w:numPr>
          <w:ilvl w:val="0"/>
          <w:numId w:val="1"/>
        </w:numPr>
        <w:tabs>
          <w:tab w:val="left" w:pos="886"/>
        </w:tabs>
        <w:spacing w:before="143"/>
        <w:ind w:hanging="366"/>
        <w:rPr>
          <w:i/>
          <w:sz w:val="24"/>
        </w:rPr>
      </w:pPr>
      <w:r>
        <w:rPr>
          <w:i/>
          <w:sz w:val="24"/>
        </w:rPr>
        <w:t>R. S. N. Pillai, Management Accounting, Sultan</w:t>
      </w:r>
      <w:r>
        <w:rPr>
          <w:i/>
          <w:spacing w:val="-13"/>
          <w:sz w:val="24"/>
        </w:rPr>
        <w:t xml:space="preserve"> </w:t>
      </w:r>
      <w:r>
        <w:rPr>
          <w:i/>
          <w:sz w:val="24"/>
        </w:rPr>
        <w:t>&amp;Chand</w:t>
      </w:r>
    </w:p>
    <w:p w:rsidR="00BC68F3" w:rsidRDefault="00BC68F3" w:rsidP="00BC68F3">
      <w:pPr>
        <w:pStyle w:val="ListParagraph"/>
        <w:numPr>
          <w:ilvl w:val="0"/>
          <w:numId w:val="1"/>
        </w:numPr>
        <w:tabs>
          <w:tab w:val="left" w:pos="886"/>
        </w:tabs>
        <w:spacing w:before="149"/>
        <w:ind w:hanging="366"/>
        <w:rPr>
          <w:i/>
          <w:sz w:val="24"/>
        </w:rPr>
      </w:pPr>
      <w:r>
        <w:rPr>
          <w:i/>
          <w:sz w:val="24"/>
        </w:rPr>
        <w:t>N. Vinayakan and G. B. Gupta,</w:t>
      </w:r>
      <w:r>
        <w:rPr>
          <w:i/>
          <w:spacing w:val="-8"/>
          <w:sz w:val="24"/>
        </w:rPr>
        <w:t xml:space="preserve"> </w:t>
      </w:r>
      <w:r>
        <w:rPr>
          <w:i/>
          <w:sz w:val="24"/>
        </w:rPr>
        <w:t>Management</w:t>
      </w:r>
      <w:r w:rsidR="0050422C">
        <w:rPr>
          <w:i/>
          <w:sz w:val="24"/>
        </w:rPr>
        <w:t xml:space="preserve"> </w:t>
      </w:r>
      <w:r>
        <w:rPr>
          <w:i/>
          <w:sz w:val="24"/>
        </w:rPr>
        <w:t>Accounting</w:t>
      </w:r>
    </w:p>
    <w:p w:rsidR="00BC68F3" w:rsidRDefault="00BC68F3" w:rsidP="00BC68F3">
      <w:pPr>
        <w:pStyle w:val="ListParagraph"/>
        <w:numPr>
          <w:ilvl w:val="0"/>
          <w:numId w:val="1"/>
        </w:numPr>
        <w:tabs>
          <w:tab w:val="left" w:pos="886"/>
        </w:tabs>
        <w:spacing w:before="144"/>
        <w:ind w:hanging="366"/>
        <w:rPr>
          <w:i/>
          <w:sz w:val="24"/>
        </w:rPr>
      </w:pPr>
      <w:r>
        <w:rPr>
          <w:i/>
          <w:sz w:val="24"/>
        </w:rPr>
        <w:t>S. N. Maheshwar</w:t>
      </w:r>
      <w:r w:rsidR="0050422C">
        <w:rPr>
          <w:i/>
          <w:sz w:val="24"/>
        </w:rPr>
        <w:t xml:space="preserve"> </w:t>
      </w:r>
      <w:r>
        <w:rPr>
          <w:i/>
          <w:sz w:val="24"/>
        </w:rPr>
        <w:t>Grewal, Cost and</w:t>
      </w:r>
      <w:r>
        <w:rPr>
          <w:i/>
          <w:spacing w:val="-8"/>
          <w:sz w:val="24"/>
        </w:rPr>
        <w:t xml:space="preserve"> </w:t>
      </w:r>
      <w:r>
        <w:rPr>
          <w:i/>
          <w:sz w:val="24"/>
        </w:rPr>
        <w:t>Management</w:t>
      </w:r>
      <w:r w:rsidR="0050422C">
        <w:rPr>
          <w:i/>
          <w:sz w:val="24"/>
        </w:rPr>
        <w:t xml:space="preserve"> </w:t>
      </w:r>
      <w:r>
        <w:rPr>
          <w:i/>
          <w:sz w:val="24"/>
        </w:rPr>
        <w:t>Accounting</w:t>
      </w:r>
    </w:p>
    <w:p w:rsidR="00BC68F3" w:rsidRDefault="00BC68F3" w:rsidP="00BC68F3">
      <w:pPr>
        <w:pStyle w:val="ListParagraph"/>
        <w:numPr>
          <w:ilvl w:val="0"/>
          <w:numId w:val="1"/>
        </w:numPr>
        <w:tabs>
          <w:tab w:val="left" w:pos="886"/>
        </w:tabs>
        <w:spacing w:before="144"/>
        <w:ind w:hanging="366"/>
        <w:rPr>
          <w:i/>
          <w:sz w:val="24"/>
        </w:rPr>
      </w:pPr>
      <w:r>
        <w:rPr>
          <w:i/>
          <w:sz w:val="24"/>
        </w:rPr>
        <w:t>Khan and Jain,</w:t>
      </w:r>
      <w:r>
        <w:rPr>
          <w:i/>
          <w:spacing w:val="-7"/>
          <w:sz w:val="24"/>
        </w:rPr>
        <w:t xml:space="preserve"> </w:t>
      </w:r>
      <w:r>
        <w:rPr>
          <w:i/>
          <w:sz w:val="24"/>
        </w:rPr>
        <w:t>Management</w:t>
      </w:r>
      <w:r w:rsidR="0050422C">
        <w:rPr>
          <w:i/>
          <w:sz w:val="24"/>
        </w:rPr>
        <w:t xml:space="preserve"> </w:t>
      </w:r>
      <w:bookmarkStart w:id="5" w:name="_GoBack"/>
      <w:bookmarkEnd w:id="5"/>
      <w:r>
        <w:rPr>
          <w:i/>
          <w:sz w:val="24"/>
        </w:rPr>
        <w:t>Accounting</w:t>
      </w:r>
    </w:p>
    <w:p w:rsidR="00AE7102" w:rsidRDefault="00AE7102"/>
    <w:sectPr w:rsidR="00AE71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7E2509"/>
    <w:multiLevelType w:val="hybridMultilevel"/>
    <w:tmpl w:val="21ECB6CA"/>
    <w:lvl w:ilvl="0" w:tplc="117E808E">
      <w:start w:val="1"/>
      <w:numFmt w:val="decimal"/>
      <w:lvlText w:val="%1."/>
      <w:lvlJc w:val="left"/>
      <w:pPr>
        <w:ind w:left="885" w:hanging="365"/>
        <w:jc w:val="left"/>
      </w:pPr>
      <w:rPr>
        <w:rFonts w:ascii="Calibri" w:eastAsia="Calibri" w:hAnsi="Calibri" w:cs="Calibri" w:hint="default"/>
        <w:i/>
        <w:spacing w:val="-7"/>
        <w:w w:val="100"/>
        <w:sz w:val="24"/>
        <w:szCs w:val="24"/>
        <w:lang w:val="en-US" w:eastAsia="en-US" w:bidi="ar-SA"/>
      </w:rPr>
    </w:lvl>
    <w:lvl w:ilvl="1" w:tplc="2E1C7622">
      <w:numFmt w:val="bullet"/>
      <w:lvlText w:val="•"/>
      <w:lvlJc w:val="left"/>
      <w:pPr>
        <w:ind w:left="1726" w:hanging="365"/>
      </w:pPr>
      <w:rPr>
        <w:rFonts w:hint="default"/>
        <w:lang w:val="en-US" w:eastAsia="en-US" w:bidi="ar-SA"/>
      </w:rPr>
    </w:lvl>
    <w:lvl w:ilvl="2" w:tplc="7C6C9944">
      <w:numFmt w:val="bullet"/>
      <w:lvlText w:val="•"/>
      <w:lvlJc w:val="left"/>
      <w:pPr>
        <w:ind w:left="2573" w:hanging="365"/>
      </w:pPr>
      <w:rPr>
        <w:rFonts w:hint="default"/>
        <w:lang w:val="en-US" w:eastAsia="en-US" w:bidi="ar-SA"/>
      </w:rPr>
    </w:lvl>
    <w:lvl w:ilvl="3" w:tplc="5FA6D722">
      <w:numFmt w:val="bullet"/>
      <w:lvlText w:val="•"/>
      <w:lvlJc w:val="left"/>
      <w:pPr>
        <w:ind w:left="3420" w:hanging="365"/>
      </w:pPr>
      <w:rPr>
        <w:rFonts w:hint="default"/>
        <w:lang w:val="en-US" w:eastAsia="en-US" w:bidi="ar-SA"/>
      </w:rPr>
    </w:lvl>
    <w:lvl w:ilvl="4" w:tplc="E66C638A">
      <w:numFmt w:val="bullet"/>
      <w:lvlText w:val="•"/>
      <w:lvlJc w:val="left"/>
      <w:pPr>
        <w:ind w:left="4267" w:hanging="365"/>
      </w:pPr>
      <w:rPr>
        <w:rFonts w:hint="default"/>
        <w:lang w:val="en-US" w:eastAsia="en-US" w:bidi="ar-SA"/>
      </w:rPr>
    </w:lvl>
    <w:lvl w:ilvl="5" w:tplc="FD30CBA0">
      <w:numFmt w:val="bullet"/>
      <w:lvlText w:val="•"/>
      <w:lvlJc w:val="left"/>
      <w:pPr>
        <w:ind w:left="5114" w:hanging="365"/>
      </w:pPr>
      <w:rPr>
        <w:rFonts w:hint="default"/>
        <w:lang w:val="en-US" w:eastAsia="en-US" w:bidi="ar-SA"/>
      </w:rPr>
    </w:lvl>
    <w:lvl w:ilvl="6" w:tplc="6F34B7F8">
      <w:numFmt w:val="bullet"/>
      <w:lvlText w:val="•"/>
      <w:lvlJc w:val="left"/>
      <w:pPr>
        <w:ind w:left="5961" w:hanging="365"/>
      </w:pPr>
      <w:rPr>
        <w:rFonts w:hint="default"/>
        <w:lang w:val="en-US" w:eastAsia="en-US" w:bidi="ar-SA"/>
      </w:rPr>
    </w:lvl>
    <w:lvl w:ilvl="7" w:tplc="4192F716">
      <w:numFmt w:val="bullet"/>
      <w:lvlText w:val="•"/>
      <w:lvlJc w:val="left"/>
      <w:pPr>
        <w:ind w:left="6808" w:hanging="365"/>
      </w:pPr>
      <w:rPr>
        <w:rFonts w:hint="default"/>
        <w:lang w:val="en-US" w:eastAsia="en-US" w:bidi="ar-SA"/>
      </w:rPr>
    </w:lvl>
    <w:lvl w:ilvl="8" w:tplc="CFF0B706">
      <w:numFmt w:val="bullet"/>
      <w:lvlText w:val="•"/>
      <w:lvlJc w:val="left"/>
      <w:pPr>
        <w:ind w:left="7655" w:hanging="365"/>
      </w:pPr>
      <w:rPr>
        <w:rFonts w:hint="default"/>
        <w:lang w:val="en-US" w:eastAsia="en-US" w:bidi="ar-SA"/>
      </w:rPr>
    </w:lvl>
  </w:abstractNum>
  <w:abstractNum w:abstractNumId="1">
    <w:nsid w:val="3E9B7447"/>
    <w:multiLevelType w:val="multilevel"/>
    <w:tmpl w:val="59DCAD84"/>
    <w:lvl w:ilvl="0">
      <w:start w:val="5"/>
      <w:numFmt w:val="lowerLetter"/>
      <w:lvlText w:val="%1"/>
      <w:lvlJc w:val="left"/>
      <w:pPr>
        <w:ind w:left="160" w:hanging="327"/>
        <w:jc w:val="left"/>
      </w:pPr>
      <w:rPr>
        <w:rFonts w:hint="default"/>
        <w:lang w:val="en-US" w:eastAsia="en-US" w:bidi="ar-SA"/>
      </w:rPr>
    </w:lvl>
    <w:lvl w:ilvl="1">
      <w:start w:val="2"/>
      <w:numFmt w:val="upperLetter"/>
      <w:lvlText w:val="%1-%2"/>
      <w:lvlJc w:val="left"/>
      <w:pPr>
        <w:ind w:left="160" w:hanging="327"/>
        <w:jc w:val="left"/>
      </w:pPr>
      <w:rPr>
        <w:rFonts w:ascii="Calibri" w:eastAsia="Calibri" w:hAnsi="Calibri" w:cs="Calibri" w:hint="default"/>
        <w:spacing w:val="-1"/>
        <w:w w:val="100"/>
        <w:sz w:val="22"/>
        <w:szCs w:val="22"/>
        <w:lang w:val="en-US" w:eastAsia="en-US" w:bidi="ar-SA"/>
      </w:rPr>
    </w:lvl>
    <w:lvl w:ilvl="2">
      <w:numFmt w:val="bullet"/>
      <w:lvlText w:val=""/>
      <w:lvlJc w:val="left"/>
      <w:pPr>
        <w:ind w:left="885" w:hanging="361"/>
      </w:pPr>
      <w:rPr>
        <w:rFonts w:hint="default"/>
        <w:w w:val="100"/>
        <w:lang w:val="en-US" w:eastAsia="en-US" w:bidi="ar-SA"/>
      </w:rPr>
    </w:lvl>
    <w:lvl w:ilvl="3">
      <w:numFmt w:val="bullet"/>
      <w:lvlText w:val=""/>
      <w:lvlJc w:val="left"/>
      <w:pPr>
        <w:ind w:left="1346" w:hanging="360"/>
      </w:pPr>
      <w:rPr>
        <w:rFonts w:hint="default"/>
        <w:w w:val="100"/>
        <w:lang w:val="en-US" w:eastAsia="en-US" w:bidi="ar-SA"/>
      </w:rPr>
    </w:lvl>
    <w:lvl w:ilvl="4">
      <w:numFmt w:val="bullet"/>
      <w:lvlText w:val="•"/>
      <w:lvlJc w:val="left"/>
      <w:pPr>
        <w:ind w:left="3342" w:hanging="360"/>
      </w:pPr>
      <w:rPr>
        <w:rFonts w:hint="default"/>
        <w:lang w:val="en-US" w:eastAsia="en-US" w:bidi="ar-SA"/>
      </w:rPr>
    </w:lvl>
    <w:lvl w:ilvl="5">
      <w:numFmt w:val="bullet"/>
      <w:lvlText w:val="•"/>
      <w:lvlJc w:val="left"/>
      <w:pPr>
        <w:ind w:left="4343" w:hanging="360"/>
      </w:pPr>
      <w:rPr>
        <w:rFonts w:hint="default"/>
        <w:lang w:val="en-US" w:eastAsia="en-US" w:bidi="ar-SA"/>
      </w:rPr>
    </w:lvl>
    <w:lvl w:ilvl="6">
      <w:numFmt w:val="bullet"/>
      <w:lvlText w:val="•"/>
      <w:lvlJc w:val="left"/>
      <w:pPr>
        <w:ind w:left="5344" w:hanging="360"/>
      </w:pPr>
      <w:rPr>
        <w:rFonts w:hint="default"/>
        <w:lang w:val="en-US" w:eastAsia="en-US" w:bidi="ar-SA"/>
      </w:rPr>
    </w:lvl>
    <w:lvl w:ilvl="7">
      <w:numFmt w:val="bullet"/>
      <w:lvlText w:val="•"/>
      <w:lvlJc w:val="left"/>
      <w:pPr>
        <w:ind w:left="6345" w:hanging="360"/>
      </w:pPr>
      <w:rPr>
        <w:rFonts w:hint="default"/>
        <w:lang w:val="en-US" w:eastAsia="en-US" w:bidi="ar-SA"/>
      </w:rPr>
    </w:lvl>
    <w:lvl w:ilvl="8">
      <w:numFmt w:val="bullet"/>
      <w:lvlText w:val="•"/>
      <w:lvlJc w:val="left"/>
      <w:pPr>
        <w:ind w:left="7346"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8F3"/>
    <w:rsid w:val="0050422C"/>
    <w:rsid w:val="00AE7102"/>
    <w:rsid w:val="00BC68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68A5DB-D918-47EF-8499-BFE71366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C68F3"/>
    <w:pPr>
      <w:widowControl w:val="0"/>
      <w:autoSpaceDE w:val="0"/>
      <w:autoSpaceDN w:val="0"/>
      <w:spacing w:after="0" w:line="240" w:lineRule="auto"/>
    </w:pPr>
    <w:rPr>
      <w:rFonts w:ascii="Calibri" w:eastAsia="Calibri" w:hAnsi="Calibri" w:cs="Calibri"/>
      <w:lang w:val="en-US"/>
    </w:rPr>
  </w:style>
  <w:style w:type="paragraph" w:styleId="Heading3">
    <w:name w:val="heading 3"/>
    <w:basedOn w:val="Normal"/>
    <w:link w:val="Heading3Char"/>
    <w:uiPriority w:val="1"/>
    <w:qFormat/>
    <w:rsid w:val="00BC68F3"/>
    <w:pPr>
      <w:spacing w:before="1"/>
      <w:ind w:left="1607" w:right="1481"/>
      <w:jc w:val="center"/>
      <w:outlineLvl w:val="2"/>
    </w:pPr>
    <w:rPr>
      <w:b/>
      <w:bCs/>
      <w:sz w:val="36"/>
      <w:szCs w:val="36"/>
    </w:rPr>
  </w:style>
  <w:style w:type="paragraph" w:styleId="Heading4">
    <w:name w:val="heading 4"/>
    <w:basedOn w:val="Normal"/>
    <w:link w:val="Heading4Char"/>
    <w:uiPriority w:val="1"/>
    <w:qFormat/>
    <w:rsid w:val="00BC68F3"/>
    <w:pPr>
      <w:spacing w:before="265"/>
      <w:ind w:left="1630" w:right="1481"/>
      <w:jc w:val="center"/>
      <w:outlineLvl w:val="3"/>
    </w:pPr>
    <w:rPr>
      <w:b/>
      <w:bCs/>
      <w:sz w:val="32"/>
      <w:szCs w:val="32"/>
    </w:rPr>
  </w:style>
  <w:style w:type="paragraph" w:styleId="Heading6">
    <w:name w:val="heading 6"/>
    <w:basedOn w:val="Normal"/>
    <w:link w:val="Heading6Char"/>
    <w:uiPriority w:val="1"/>
    <w:qFormat/>
    <w:rsid w:val="00BC68F3"/>
    <w:pPr>
      <w:spacing w:before="258"/>
      <w:ind w:left="540"/>
      <w:outlineLvl w:val="5"/>
    </w:pPr>
    <w:rPr>
      <w:b/>
      <w:bCs/>
      <w:sz w:val="28"/>
      <w:szCs w:val="28"/>
    </w:rPr>
  </w:style>
  <w:style w:type="paragraph" w:styleId="Heading7">
    <w:name w:val="heading 7"/>
    <w:basedOn w:val="Normal"/>
    <w:link w:val="Heading7Char"/>
    <w:uiPriority w:val="1"/>
    <w:qFormat/>
    <w:rsid w:val="00BC68F3"/>
    <w:pPr>
      <w:ind w:left="100"/>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BC68F3"/>
    <w:rPr>
      <w:rFonts w:ascii="Calibri" w:eastAsia="Calibri" w:hAnsi="Calibri" w:cs="Calibri"/>
      <w:b/>
      <w:bCs/>
      <w:sz w:val="36"/>
      <w:szCs w:val="36"/>
      <w:lang w:val="en-US"/>
    </w:rPr>
  </w:style>
  <w:style w:type="character" w:customStyle="1" w:styleId="Heading4Char">
    <w:name w:val="Heading 4 Char"/>
    <w:basedOn w:val="DefaultParagraphFont"/>
    <w:link w:val="Heading4"/>
    <w:uiPriority w:val="1"/>
    <w:rsid w:val="00BC68F3"/>
    <w:rPr>
      <w:rFonts w:ascii="Calibri" w:eastAsia="Calibri" w:hAnsi="Calibri" w:cs="Calibri"/>
      <w:b/>
      <w:bCs/>
      <w:sz w:val="32"/>
      <w:szCs w:val="32"/>
      <w:lang w:val="en-US"/>
    </w:rPr>
  </w:style>
  <w:style w:type="character" w:customStyle="1" w:styleId="Heading6Char">
    <w:name w:val="Heading 6 Char"/>
    <w:basedOn w:val="DefaultParagraphFont"/>
    <w:link w:val="Heading6"/>
    <w:uiPriority w:val="1"/>
    <w:rsid w:val="00BC68F3"/>
    <w:rPr>
      <w:rFonts w:ascii="Calibri" w:eastAsia="Calibri" w:hAnsi="Calibri" w:cs="Calibri"/>
      <w:b/>
      <w:bCs/>
      <w:sz w:val="28"/>
      <w:szCs w:val="28"/>
      <w:lang w:val="en-US"/>
    </w:rPr>
  </w:style>
  <w:style w:type="character" w:customStyle="1" w:styleId="Heading7Char">
    <w:name w:val="Heading 7 Char"/>
    <w:basedOn w:val="DefaultParagraphFont"/>
    <w:link w:val="Heading7"/>
    <w:uiPriority w:val="1"/>
    <w:rsid w:val="00BC68F3"/>
    <w:rPr>
      <w:rFonts w:ascii="Calibri" w:eastAsia="Calibri" w:hAnsi="Calibri" w:cs="Calibri"/>
      <w:b/>
      <w:bCs/>
      <w:sz w:val="24"/>
      <w:szCs w:val="24"/>
      <w:lang w:val="en-US"/>
    </w:rPr>
  </w:style>
  <w:style w:type="paragraph" w:styleId="BodyText">
    <w:name w:val="Body Text"/>
    <w:basedOn w:val="Normal"/>
    <w:link w:val="BodyTextChar"/>
    <w:uiPriority w:val="1"/>
    <w:qFormat/>
    <w:rsid w:val="00BC68F3"/>
    <w:rPr>
      <w:sz w:val="24"/>
      <w:szCs w:val="24"/>
    </w:rPr>
  </w:style>
  <w:style w:type="character" w:customStyle="1" w:styleId="BodyTextChar">
    <w:name w:val="Body Text Char"/>
    <w:basedOn w:val="DefaultParagraphFont"/>
    <w:link w:val="BodyText"/>
    <w:uiPriority w:val="1"/>
    <w:rsid w:val="00BC68F3"/>
    <w:rPr>
      <w:rFonts w:ascii="Calibri" w:eastAsia="Calibri" w:hAnsi="Calibri" w:cs="Calibri"/>
      <w:sz w:val="24"/>
      <w:szCs w:val="24"/>
      <w:lang w:val="en-US"/>
    </w:rPr>
  </w:style>
  <w:style w:type="paragraph" w:styleId="ListParagraph">
    <w:name w:val="List Paragraph"/>
    <w:basedOn w:val="Normal"/>
    <w:uiPriority w:val="1"/>
    <w:qFormat/>
    <w:rsid w:val="00BC68F3"/>
    <w:pPr>
      <w:ind w:left="821"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382</Words>
  <Characters>2181</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2021-02-02T15:24:00Z</dcterms:created>
  <dcterms:modified xsi:type="dcterms:W3CDTF">2021-02-02T15:27:00Z</dcterms:modified>
</cp:coreProperties>
</file>