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68" w:rsidRDefault="004D4C68" w:rsidP="004D4C68">
      <w:pPr>
        <w:pStyle w:val="Heading3"/>
      </w:pPr>
      <w:r>
        <w:t>Veer Narmad South Gujarat University</w:t>
      </w:r>
    </w:p>
    <w:p w:rsidR="004D4C68" w:rsidRDefault="004D4C68" w:rsidP="004D4C68">
      <w:pPr>
        <w:pStyle w:val="Heading4"/>
        <w:spacing w:before="266"/>
        <w:ind w:right="1476"/>
      </w:pPr>
      <w:bookmarkStart w:id="0" w:name="_bookmark31"/>
      <w:bookmarkStart w:id="1" w:name="_GoBack"/>
      <w:bookmarkEnd w:id="0"/>
      <w:r>
        <w:t>FSE-2: 506 – Strategic Financial Management (Finance Elective Group)</w:t>
      </w:r>
    </w:p>
    <w:bookmarkEnd w:id="1"/>
    <w:p w:rsidR="004D4C68" w:rsidRDefault="004D4C68" w:rsidP="004D4C68">
      <w:pPr>
        <w:pStyle w:val="BodyText"/>
        <w:spacing w:before="4"/>
        <w:rPr>
          <w:b/>
          <w:sz w:val="32"/>
        </w:rPr>
      </w:pPr>
    </w:p>
    <w:p w:rsidR="004D4C68" w:rsidRDefault="004D4C68" w:rsidP="004D4C68">
      <w:pPr>
        <w:pStyle w:val="Heading6"/>
        <w:tabs>
          <w:tab w:val="left" w:pos="5582"/>
        </w:tabs>
        <w:spacing w:before="1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4D4C68" w:rsidRDefault="004D4C68" w:rsidP="004D4C68">
      <w:pPr>
        <w:pStyle w:val="BodyText"/>
        <w:spacing w:before="9"/>
        <w:rPr>
          <w:b/>
          <w:sz w:val="40"/>
        </w:rPr>
      </w:pPr>
    </w:p>
    <w:p w:rsidR="004D4C68" w:rsidRDefault="004D4C68" w:rsidP="004D4C68">
      <w:pPr>
        <w:pStyle w:val="Heading7"/>
        <w:spacing w:before="1"/>
        <w:ind w:left="540"/>
      </w:pPr>
      <w:r>
        <w:t>Objectives:</w:t>
      </w:r>
    </w:p>
    <w:p w:rsidR="004D4C68" w:rsidRDefault="004D4C68" w:rsidP="004D4C68">
      <w:pPr>
        <w:pStyle w:val="BodyText"/>
        <w:spacing w:before="4"/>
        <w:rPr>
          <w:b/>
          <w:sz w:val="19"/>
        </w:rPr>
      </w:pP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line="352" w:lineRule="auto"/>
        <w:ind w:right="1566"/>
        <w:rPr>
          <w:rFonts w:ascii="Symbol" w:hAnsi="Symbol"/>
          <w:sz w:val="24"/>
        </w:rPr>
      </w:pPr>
      <w:r>
        <w:rPr>
          <w:sz w:val="24"/>
        </w:rPr>
        <w:t>To make aware about various fundamental concepts of strategic</w:t>
      </w:r>
      <w:r>
        <w:rPr>
          <w:spacing w:val="-33"/>
          <w:sz w:val="24"/>
        </w:rPr>
        <w:t xml:space="preserve"> </w:t>
      </w:r>
      <w:r>
        <w:rPr>
          <w:sz w:val="24"/>
        </w:rPr>
        <w:t>financial management.</w:t>
      </w: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19" w:line="352" w:lineRule="auto"/>
        <w:ind w:right="976"/>
        <w:rPr>
          <w:rFonts w:ascii="Symbol" w:hAnsi="Symbol"/>
          <w:sz w:val="24"/>
        </w:rPr>
      </w:pPr>
      <w:r>
        <w:rPr>
          <w:sz w:val="24"/>
        </w:rPr>
        <w:t>To develop a perspective of students towards combining finance functions</w:t>
      </w:r>
      <w:r>
        <w:rPr>
          <w:spacing w:val="-38"/>
          <w:sz w:val="24"/>
        </w:rPr>
        <w:t xml:space="preserve"> </w:t>
      </w:r>
      <w:r>
        <w:rPr>
          <w:sz w:val="24"/>
        </w:rPr>
        <w:t>with strategies.</w:t>
      </w: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18" w:line="352" w:lineRule="auto"/>
        <w:ind w:right="953"/>
        <w:rPr>
          <w:rFonts w:ascii="Symbol" w:hAnsi="Symbol"/>
          <w:sz w:val="24"/>
        </w:rPr>
      </w:pPr>
      <w:r>
        <w:rPr>
          <w:sz w:val="24"/>
        </w:rPr>
        <w:t>To ensure that students can exercise judgment and technique to make</w:t>
      </w:r>
      <w:r>
        <w:rPr>
          <w:spacing w:val="-38"/>
          <w:sz w:val="24"/>
        </w:rPr>
        <w:t xml:space="preserve"> </w:t>
      </w:r>
      <w:r>
        <w:rPr>
          <w:sz w:val="24"/>
        </w:rPr>
        <w:t>business value added decisions in strategic</w:t>
      </w:r>
      <w:r>
        <w:rPr>
          <w:spacing w:val="-4"/>
          <w:sz w:val="24"/>
        </w:rPr>
        <w:t xml:space="preserve"> </w:t>
      </w:r>
      <w:r>
        <w:rPr>
          <w:sz w:val="24"/>
        </w:rPr>
        <w:t>financialmanagement.</w:t>
      </w:r>
    </w:p>
    <w:p w:rsidR="004D4C68" w:rsidRDefault="004D4C68" w:rsidP="004D4C68">
      <w:pPr>
        <w:pStyle w:val="Heading7"/>
        <w:spacing w:before="12"/>
        <w:ind w:left="540"/>
      </w:pPr>
      <w:r>
        <w:t>Teaching Pedagogy:</w:t>
      </w:r>
    </w:p>
    <w:p w:rsidR="004D4C68" w:rsidRDefault="004D4C68" w:rsidP="004D4C68">
      <w:pPr>
        <w:pStyle w:val="BodyText"/>
        <w:spacing w:before="7"/>
        <w:rPr>
          <w:b/>
          <w:sz w:val="20"/>
        </w:rPr>
      </w:pP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line="271" w:lineRule="auto"/>
        <w:ind w:right="559"/>
        <w:rPr>
          <w:rFonts w:ascii="Symbol" w:hAnsi="Symbol"/>
          <w:sz w:val="24"/>
        </w:rPr>
      </w:pPr>
      <w:r>
        <w:rPr>
          <w:sz w:val="24"/>
        </w:rPr>
        <w:t>Students are involved through lectures, discussions, numerical,</w:t>
      </w:r>
      <w:r>
        <w:rPr>
          <w:spacing w:val="-40"/>
          <w:sz w:val="24"/>
        </w:rPr>
        <w:t xml:space="preserve"> </w:t>
      </w:r>
      <w:r>
        <w:rPr>
          <w:sz w:val="24"/>
        </w:rPr>
        <w:t>corporate cases and power</w:t>
      </w:r>
      <w:r>
        <w:rPr>
          <w:spacing w:val="-5"/>
          <w:sz w:val="24"/>
        </w:rPr>
        <w:t xml:space="preserve"> </w:t>
      </w:r>
      <w:r>
        <w:rPr>
          <w:sz w:val="24"/>
        </w:rPr>
        <w:t>pointpresentation</w:t>
      </w:r>
    </w:p>
    <w:p w:rsidR="004D4C68" w:rsidRDefault="004D4C68" w:rsidP="004D4C68">
      <w:pPr>
        <w:spacing w:before="207"/>
        <w:ind w:left="540"/>
        <w:rPr>
          <w:b/>
          <w:sz w:val="24"/>
        </w:rPr>
      </w:pPr>
      <w:r>
        <w:rPr>
          <w:b/>
          <w:sz w:val="24"/>
          <w:u w:val="single"/>
        </w:rPr>
        <w:t>Course Content:</w:t>
      </w:r>
    </w:p>
    <w:p w:rsidR="004D4C68" w:rsidRDefault="004D4C68" w:rsidP="004D4C68">
      <w:pPr>
        <w:pStyle w:val="BodyText"/>
        <w:spacing w:before="3"/>
        <w:rPr>
          <w:b/>
          <w:sz w:val="16"/>
        </w:rPr>
      </w:pPr>
    </w:p>
    <w:p w:rsidR="004D4C68" w:rsidRDefault="004D4C68" w:rsidP="004D4C68">
      <w:pPr>
        <w:pStyle w:val="ListParagraph"/>
        <w:numPr>
          <w:ilvl w:val="0"/>
          <w:numId w:val="1"/>
        </w:numPr>
        <w:tabs>
          <w:tab w:val="left" w:pos="1261"/>
          <w:tab w:val="left" w:pos="8463"/>
        </w:tabs>
        <w:spacing w:before="51" w:line="276" w:lineRule="auto"/>
        <w:ind w:right="401" w:hanging="68"/>
        <w:rPr>
          <w:sz w:val="24"/>
        </w:rPr>
      </w:pPr>
      <w:r>
        <w:rPr>
          <w:b/>
          <w:sz w:val="24"/>
        </w:rPr>
        <w:t>Introduction 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Strategy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andFinancialManagement</w:t>
      </w:r>
      <w:r>
        <w:rPr>
          <w:b/>
          <w:sz w:val="24"/>
        </w:rPr>
        <w:tab/>
        <w:t xml:space="preserve">(10%) </w:t>
      </w:r>
      <w:r>
        <w:rPr>
          <w:sz w:val="24"/>
        </w:rPr>
        <w:t>Basic Concepts and Significance of Strategic Financial Management, Strategic planning process, Financial, planning process and Financial Forecasting, Benefits and Techniques of Financial</w:t>
      </w:r>
      <w:r>
        <w:rPr>
          <w:spacing w:val="-8"/>
          <w:sz w:val="24"/>
        </w:rPr>
        <w:t xml:space="preserve"> </w:t>
      </w:r>
      <w:r>
        <w:rPr>
          <w:sz w:val="24"/>
        </w:rPr>
        <w:t>Forecasting</w:t>
      </w:r>
    </w:p>
    <w:p w:rsidR="004D4C68" w:rsidRDefault="004D4C68" w:rsidP="004D4C68">
      <w:pPr>
        <w:pStyle w:val="BodyText"/>
        <w:spacing w:before="4"/>
        <w:rPr>
          <w:sz w:val="27"/>
        </w:rPr>
      </w:pPr>
    </w:p>
    <w:p w:rsidR="004D4C68" w:rsidRDefault="004D4C68" w:rsidP="004D4C68">
      <w:pPr>
        <w:pStyle w:val="Heading7"/>
        <w:numPr>
          <w:ilvl w:val="0"/>
          <w:numId w:val="1"/>
        </w:numPr>
        <w:tabs>
          <w:tab w:val="left" w:pos="1261"/>
          <w:tab w:val="left" w:pos="8463"/>
        </w:tabs>
        <w:ind w:left="1261"/>
        <w:jc w:val="both"/>
      </w:pPr>
      <w:bookmarkStart w:id="2" w:name="2._Project_PlanningandControl_(10%)"/>
      <w:bookmarkEnd w:id="2"/>
      <w:r>
        <w:t>Project</w:t>
      </w:r>
      <w:r>
        <w:rPr>
          <w:spacing w:val="-6"/>
        </w:rPr>
        <w:t xml:space="preserve"> </w:t>
      </w:r>
      <w:r>
        <w:t>PlanningandControl</w:t>
      </w:r>
      <w:r>
        <w:tab/>
        <w:t>(10%)</w:t>
      </w:r>
    </w:p>
    <w:p w:rsidR="004D4C68" w:rsidRDefault="004D4C68" w:rsidP="004D4C68">
      <w:pPr>
        <w:pStyle w:val="BodyText"/>
        <w:spacing w:before="48" w:line="278" w:lineRule="auto"/>
        <w:ind w:left="968" w:right="409"/>
        <w:jc w:val="both"/>
      </w:pPr>
      <w:r>
        <w:t>Meaning of project management, Classification of projects Stages in setting up of a project, Cost benefit analysis in project, Project Appraisal Techniques and appraisal by financial institution</w:t>
      </w:r>
    </w:p>
    <w:p w:rsidR="004D4C68" w:rsidRDefault="004D4C68" w:rsidP="004D4C68">
      <w:pPr>
        <w:pStyle w:val="BodyText"/>
        <w:spacing w:before="7"/>
        <w:rPr>
          <w:sz w:val="26"/>
        </w:rPr>
      </w:pPr>
    </w:p>
    <w:p w:rsidR="004D4C68" w:rsidRDefault="004D4C68" w:rsidP="004D4C68">
      <w:pPr>
        <w:pStyle w:val="ListParagraph"/>
        <w:numPr>
          <w:ilvl w:val="0"/>
          <w:numId w:val="1"/>
        </w:numPr>
        <w:tabs>
          <w:tab w:val="left" w:pos="1261"/>
          <w:tab w:val="left" w:pos="8463"/>
        </w:tabs>
        <w:spacing w:line="276" w:lineRule="auto"/>
        <w:ind w:right="407" w:hanging="68"/>
        <w:rPr>
          <w:sz w:val="24"/>
        </w:rPr>
      </w:pPr>
      <w:r>
        <w:rPr>
          <w:b/>
          <w:sz w:val="24"/>
        </w:rPr>
        <w:t>Long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StrategicFinancialDecisions</w:t>
      </w:r>
      <w:r>
        <w:rPr>
          <w:b/>
          <w:sz w:val="24"/>
        </w:rPr>
        <w:tab/>
        <w:t xml:space="preserve">(30%) </w:t>
      </w:r>
      <w:r>
        <w:rPr>
          <w:sz w:val="24"/>
        </w:rPr>
        <w:t>Investment decision process, Cost of Project and Means of Financing, Risk Evaluation in capital budgeting: Business risk and Financial risk, Risk analysis in project selection, Techniques and models in taking decisions under risk and uncertainty (Numeric): ProbabilityAnalysis,SimulationAnalysisandSensitivityAnalysis,DecisionTreeAnalysis</w:t>
      </w:r>
    </w:p>
    <w:p w:rsidR="004D4C68" w:rsidRDefault="004D4C68" w:rsidP="004D4C68">
      <w:pPr>
        <w:spacing w:line="276" w:lineRule="auto"/>
        <w:rPr>
          <w:sz w:val="24"/>
        </w:rPr>
        <w:sectPr w:rsidR="004D4C68">
          <w:pgSz w:w="11910" w:h="16840"/>
          <w:pgMar w:top="1380" w:right="1040" w:bottom="1200" w:left="900" w:header="0" w:footer="1008" w:gutter="0"/>
          <w:cols w:space="720"/>
        </w:sectPr>
      </w:pPr>
    </w:p>
    <w:p w:rsidR="004D4C68" w:rsidRDefault="004D4C68" w:rsidP="004D4C68">
      <w:pPr>
        <w:pStyle w:val="Heading7"/>
        <w:numPr>
          <w:ilvl w:val="0"/>
          <w:numId w:val="1"/>
        </w:numPr>
        <w:tabs>
          <w:tab w:val="left" w:pos="1261"/>
          <w:tab w:val="left" w:pos="8463"/>
        </w:tabs>
        <w:spacing w:before="25"/>
        <w:ind w:left="1261"/>
        <w:jc w:val="both"/>
      </w:pPr>
      <w:bookmarkStart w:id="3" w:name="4._ValuationofBusiness_(30%)"/>
      <w:bookmarkEnd w:id="3"/>
      <w:r>
        <w:lastRenderedPageBreak/>
        <w:t>ValuationofBusiness</w:t>
      </w:r>
      <w:r>
        <w:tab/>
        <w:t>(30%)</w:t>
      </w:r>
    </w:p>
    <w:p w:rsidR="004D4C68" w:rsidRDefault="004D4C68" w:rsidP="004D4C68">
      <w:pPr>
        <w:pStyle w:val="BodyText"/>
        <w:spacing w:before="24" w:line="276" w:lineRule="auto"/>
        <w:ind w:left="968" w:right="406"/>
        <w:jc w:val="both"/>
      </w:pPr>
      <w:r>
        <w:t>Meaning of equity value and enterprise value, Reasons for valuation of an enterprise and Valuation Approaches, Methods of valuation (Numeric), Discounted Cash Flow Method, Free Cash Flow to Firm Model</w:t>
      </w:r>
    </w:p>
    <w:p w:rsidR="004D4C68" w:rsidRDefault="004D4C68" w:rsidP="004D4C68">
      <w:pPr>
        <w:pStyle w:val="BodyText"/>
        <w:spacing w:before="9"/>
        <w:rPr>
          <w:sz w:val="27"/>
        </w:rPr>
      </w:pPr>
    </w:p>
    <w:p w:rsidR="004D4C68" w:rsidRDefault="004D4C68" w:rsidP="004D4C68">
      <w:pPr>
        <w:pStyle w:val="ListParagraph"/>
        <w:numPr>
          <w:ilvl w:val="0"/>
          <w:numId w:val="1"/>
        </w:numPr>
        <w:tabs>
          <w:tab w:val="left" w:pos="1261"/>
          <w:tab w:val="left" w:pos="8463"/>
        </w:tabs>
        <w:spacing w:line="276" w:lineRule="auto"/>
        <w:ind w:right="516" w:hanging="68"/>
        <w:rPr>
          <w:sz w:val="24"/>
        </w:rPr>
      </w:pPr>
      <w:r>
        <w:rPr>
          <w:b/>
          <w:sz w:val="24"/>
        </w:rPr>
        <w:t>Corporate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Restructuring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andIndustrialSickness</w:t>
      </w:r>
      <w:r>
        <w:rPr>
          <w:b/>
          <w:sz w:val="24"/>
        </w:rPr>
        <w:tab/>
        <w:t xml:space="preserve">(20%) </w:t>
      </w:r>
      <w:r>
        <w:rPr>
          <w:sz w:val="24"/>
        </w:rPr>
        <w:t>Meaning and Reasons for corporate restructuring, Meaning,</w:t>
      </w:r>
      <w:r>
        <w:rPr>
          <w:spacing w:val="-40"/>
          <w:sz w:val="24"/>
        </w:rPr>
        <w:t xml:space="preserve"> </w:t>
      </w:r>
      <w:r>
        <w:rPr>
          <w:sz w:val="24"/>
        </w:rPr>
        <w:t>Process and Techniques of Financial Restructuring, Companies Act, 2013 and RBI’s definition of industrial sickness and causes of sickness, Prediction of sickness: Multiple Discriminant Analysis (Z – Score Model</w:t>
      </w:r>
      <w:r>
        <w:rPr>
          <w:spacing w:val="-5"/>
          <w:sz w:val="24"/>
        </w:rPr>
        <w:t xml:space="preserve"> </w:t>
      </w:r>
      <w:r>
        <w:rPr>
          <w:sz w:val="24"/>
        </w:rPr>
        <w:t>withNumeric)</w:t>
      </w:r>
    </w:p>
    <w:p w:rsidR="004D4C68" w:rsidRDefault="004D4C68" w:rsidP="004D4C68">
      <w:pPr>
        <w:pStyle w:val="BodyText"/>
        <w:spacing w:before="7"/>
        <w:rPr>
          <w:sz w:val="27"/>
        </w:rPr>
      </w:pPr>
    </w:p>
    <w:p w:rsidR="004D4C68" w:rsidRDefault="004D4C68" w:rsidP="004D4C68">
      <w:pPr>
        <w:pStyle w:val="Heading7"/>
        <w:ind w:left="540"/>
      </w:pPr>
      <w:r>
        <w:t>Suggested Reading:</w:t>
      </w:r>
    </w:p>
    <w:p w:rsidR="004D4C68" w:rsidRDefault="004D4C68" w:rsidP="004D4C68">
      <w:pPr>
        <w:pStyle w:val="BodyText"/>
        <w:spacing w:before="3"/>
        <w:rPr>
          <w:b/>
          <w:sz w:val="20"/>
        </w:rPr>
      </w:pP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line="271" w:lineRule="auto"/>
        <w:ind w:right="689"/>
        <w:rPr>
          <w:rFonts w:ascii="Symbol" w:hAnsi="Symbol"/>
          <w:sz w:val="24"/>
        </w:rPr>
      </w:pPr>
      <w:r>
        <w:rPr>
          <w:sz w:val="24"/>
        </w:rPr>
        <w:t>Ravi M. Kishore (2011), Strategic Financial Management, Second Edition,</w:t>
      </w:r>
      <w:r>
        <w:rPr>
          <w:spacing w:val="-39"/>
          <w:sz w:val="24"/>
        </w:rPr>
        <w:t xml:space="preserve"> </w:t>
      </w:r>
      <w:r>
        <w:rPr>
          <w:sz w:val="24"/>
        </w:rPr>
        <w:t>Taxmann Publications Pvt. Ltd.,</w:t>
      </w:r>
      <w:r>
        <w:rPr>
          <w:spacing w:val="-5"/>
          <w:sz w:val="24"/>
        </w:rPr>
        <w:t xml:space="preserve"> </w:t>
      </w:r>
      <w:r>
        <w:rPr>
          <w:sz w:val="24"/>
        </w:rPr>
        <w:t>NewDelhi.</w:t>
      </w: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208" w:line="271" w:lineRule="auto"/>
        <w:ind w:right="442"/>
        <w:rPr>
          <w:rFonts w:ascii="Symbol" w:hAnsi="Symbol"/>
          <w:sz w:val="24"/>
        </w:rPr>
      </w:pPr>
      <w:r>
        <w:rPr>
          <w:sz w:val="24"/>
        </w:rPr>
        <w:t>Rajesh</w:t>
      </w:r>
      <w:r>
        <w:rPr>
          <w:spacing w:val="-6"/>
          <w:sz w:val="24"/>
        </w:rPr>
        <w:t xml:space="preserve"> </w:t>
      </w:r>
      <w:r>
        <w:rPr>
          <w:sz w:val="24"/>
        </w:rPr>
        <w:t>Kumar</w:t>
      </w:r>
      <w:r>
        <w:rPr>
          <w:spacing w:val="-6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(2011),</w:t>
      </w:r>
      <w:r>
        <w:rPr>
          <w:spacing w:val="-6"/>
          <w:sz w:val="24"/>
        </w:rPr>
        <w:t xml:space="preserve"> </w:t>
      </w:r>
      <w:r>
        <w:rPr>
          <w:sz w:val="24"/>
        </w:rPr>
        <w:t>Mergers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Acquisitions,</w:t>
      </w:r>
      <w:r>
        <w:rPr>
          <w:spacing w:val="-6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Edition,</w:t>
      </w:r>
      <w:r>
        <w:rPr>
          <w:spacing w:val="-3"/>
          <w:sz w:val="24"/>
        </w:rPr>
        <w:t xml:space="preserve"> </w:t>
      </w: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-3"/>
          <w:sz w:val="24"/>
        </w:rPr>
        <w:t xml:space="preserve"> </w:t>
      </w:r>
      <w:r>
        <w:rPr>
          <w:sz w:val="24"/>
        </w:rPr>
        <w:t>Hill,</w:t>
      </w:r>
      <w:r>
        <w:rPr>
          <w:spacing w:val="-2"/>
          <w:sz w:val="24"/>
        </w:rPr>
        <w:t xml:space="preserve"> </w:t>
      </w:r>
      <w:r>
        <w:rPr>
          <w:sz w:val="24"/>
        </w:rPr>
        <w:t>New Delhi</w:t>
      </w: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213" w:line="271" w:lineRule="auto"/>
        <w:ind w:right="1065"/>
        <w:rPr>
          <w:rFonts w:ascii="Symbol" w:hAnsi="Symbol"/>
          <w:sz w:val="24"/>
        </w:rPr>
      </w:pPr>
      <w:r>
        <w:rPr>
          <w:sz w:val="24"/>
        </w:rPr>
        <w:t>Godbole Prasad G. (2009), Mergers, Acquisitions and Corporate and</w:t>
      </w:r>
      <w:r>
        <w:rPr>
          <w:spacing w:val="-40"/>
          <w:sz w:val="24"/>
        </w:rPr>
        <w:t xml:space="preserve"> </w:t>
      </w:r>
      <w:r>
        <w:rPr>
          <w:sz w:val="24"/>
        </w:rPr>
        <w:t>Corporate Restructuring, First Edition, Vikas Publishing House Pvt. Ltd.,</w:t>
      </w:r>
      <w:r>
        <w:rPr>
          <w:spacing w:val="-23"/>
          <w:sz w:val="24"/>
        </w:rPr>
        <w:t xml:space="preserve"> </w:t>
      </w:r>
      <w:r>
        <w:rPr>
          <w:sz w:val="24"/>
        </w:rPr>
        <w:t>NewDelhi.</w:t>
      </w: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209" w:line="273" w:lineRule="auto"/>
        <w:ind w:right="816"/>
        <w:rPr>
          <w:rFonts w:ascii="Symbol" w:hAnsi="Symbol"/>
          <w:sz w:val="24"/>
        </w:rPr>
      </w:pPr>
      <w:r>
        <w:rPr>
          <w:sz w:val="24"/>
        </w:rPr>
        <w:t>Weston</w:t>
      </w:r>
      <w:r>
        <w:rPr>
          <w:spacing w:val="-6"/>
          <w:sz w:val="24"/>
        </w:rPr>
        <w:t xml:space="preserve"> </w:t>
      </w:r>
      <w:r>
        <w:rPr>
          <w:sz w:val="24"/>
        </w:rPr>
        <w:t>Fred</w:t>
      </w:r>
      <w:r>
        <w:rPr>
          <w:spacing w:val="-5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Chung</w:t>
      </w:r>
      <w:r>
        <w:rPr>
          <w:spacing w:val="-2"/>
          <w:sz w:val="24"/>
        </w:rPr>
        <w:t xml:space="preserve"> </w:t>
      </w:r>
      <w:r>
        <w:rPr>
          <w:sz w:val="24"/>
        </w:rPr>
        <w:t>S.,</w:t>
      </w:r>
      <w:r>
        <w:rPr>
          <w:spacing w:val="-3"/>
          <w:sz w:val="24"/>
        </w:rPr>
        <w:t xml:space="preserve"> </w:t>
      </w:r>
      <w:r>
        <w:rPr>
          <w:sz w:val="24"/>
        </w:rPr>
        <w:t>Hoang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(2007),</w:t>
      </w:r>
      <w:r>
        <w:rPr>
          <w:spacing w:val="-3"/>
          <w:sz w:val="24"/>
        </w:rPr>
        <w:t xml:space="preserve"> </w:t>
      </w:r>
      <w:r>
        <w:rPr>
          <w:sz w:val="24"/>
        </w:rPr>
        <w:t>Mergers,</w:t>
      </w:r>
      <w:r>
        <w:rPr>
          <w:spacing w:val="-7"/>
          <w:sz w:val="24"/>
        </w:rPr>
        <w:t xml:space="preserve"> </w:t>
      </w:r>
      <w:r>
        <w:rPr>
          <w:sz w:val="24"/>
        </w:rPr>
        <w:t>Restructuring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Corporate Control, Latest Edition, Prentice – Hall of India,</w:t>
      </w:r>
      <w:r>
        <w:rPr>
          <w:spacing w:val="-17"/>
          <w:sz w:val="24"/>
        </w:rPr>
        <w:t xml:space="preserve"> </w:t>
      </w:r>
      <w:r>
        <w:rPr>
          <w:sz w:val="24"/>
        </w:rPr>
        <w:t>NewDelhi.</w:t>
      </w: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207" w:line="271" w:lineRule="auto"/>
        <w:ind w:right="432"/>
        <w:rPr>
          <w:rFonts w:ascii="Symbol" w:hAnsi="Symbol"/>
          <w:sz w:val="24"/>
        </w:rPr>
      </w:pPr>
      <w:r>
        <w:rPr>
          <w:sz w:val="24"/>
        </w:rPr>
        <w:t>Khan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Jian (2011),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Edition,</w:t>
      </w:r>
      <w:r>
        <w:rPr>
          <w:spacing w:val="-6"/>
          <w:sz w:val="24"/>
        </w:rPr>
        <w:t xml:space="preserve"> </w:t>
      </w: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-3"/>
          <w:sz w:val="24"/>
        </w:rPr>
        <w:t xml:space="preserve"> </w:t>
      </w:r>
      <w:r>
        <w:rPr>
          <w:sz w:val="24"/>
        </w:rPr>
        <w:t>Hill,</w:t>
      </w:r>
      <w:r>
        <w:rPr>
          <w:spacing w:val="-2"/>
          <w:sz w:val="24"/>
        </w:rPr>
        <w:t xml:space="preserve"> </w:t>
      </w:r>
      <w:r>
        <w:rPr>
          <w:sz w:val="24"/>
        </w:rPr>
        <w:t>New Delhi.</w:t>
      </w: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213" w:line="266" w:lineRule="auto"/>
        <w:ind w:right="739"/>
        <w:rPr>
          <w:rFonts w:ascii="Symbol" w:hAnsi="Symbol"/>
          <w:sz w:val="24"/>
        </w:rPr>
      </w:pPr>
      <w:r>
        <w:rPr>
          <w:sz w:val="24"/>
        </w:rPr>
        <w:t>Pandey</w:t>
      </w:r>
      <w:r>
        <w:rPr>
          <w:spacing w:val="-4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(2012),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>
        <w:rPr>
          <w:sz w:val="24"/>
        </w:rPr>
        <w:t>tenth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-7"/>
          <w:sz w:val="24"/>
        </w:rPr>
        <w:t xml:space="preserve"> </w:t>
      </w:r>
      <w:r>
        <w:rPr>
          <w:sz w:val="24"/>
        </w:rPr>
        <w:t>Vikas</w:t>
      </w:r>
      <w:r>
        <w:rPr>
          <w:spacing w:val="-3"/>
          <w:sz w:val="24"/>
        </w:rPr>
        <w:t xml:space="preserve"> </w:t>
      </w:r>
      <w:r>
        <w:rPr>
          <w:sz w:val="24"/>
        </w:rPr>
        <w:t>Publishing</w:t>
      </w:r>
      <w:r>
        <w:rPr>
          <w:spacing w:val="-3"/>
          <w:sz w:val="24"/>
        </w:rPr>
        <w:t xml:space="preserve"> </w:t>
      </w:r>
      <w:r>
        <w:rPr>
          <w:sz w:val="24"/>
        </w:rPr>
        <w:t>House Pvt. Ltd.,</w:t>
      </w:r>
      <w:r>
        <w:rPr>
          <w:spacing w:val="-5"/>
          <w:sz w:val="24"/>
        </w:rPr>
        <w:t xml:space="preserve"> </w:t>
      </w:r>
      <w:r>
        <w:rPr>
          <w:sz w:val="24"/>
        </w:rPr>
        <w:t>NewDelhi</w:t>
      </w:r>
    </w:p>
    <w:p w:rsidR="004D4C68" w:rsidRDefault="004D4C68" w:rsidP="004D4C68">
      <w:pPr>
        <w:pStyle w:val="BodyText"/>
        <w:spacing w:before="1"/>
        <w:rPr>
          <w:sz w:val="18"/>
        </w:rPr>
      </w:pPr>
    </w:p>
    <w:p w:rsidR="004D4C68" w:rsidRDefault="004D4C68" w:rsidP="004D4C6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line="271" w:lineRule="auto"/>
        <w:ind w:right="832"/>
        <w:rPr>
          <w:rFonts w:ascii="Symbol" w:hAnsi="Symbol"/>
          <w:sz w:val="24"/>
        </w:rPr>
      </w:pPr>
      <w:r>
        <w:rPr>
          <w:sz w:val="24"/>
        </w:rPr>
        <w:t>DamodaranAswath (2006), Damodaran on Valuation, Second Edition, Wiley</w:t>
      </w:r>
      <w:r>
        <w:rPr>
          <w:spacing w:val="-39"/>
          <w:sz w:val="24"/>
        </w:rPr>
        <w:t xml:space="preserve"> </w:t>
      </w:r>
      <w:r>
        <w:rPr>
          <w:sz w:val="24"/>
        </w:rPr>
        <w:t>India Pvt. Ltd.,</w:t>
      </w:r>
      <w:r>
        <w:rPr>
          <w:spacing w:val="-5"/>
          <w:sz w:val="24"/>
        </w:rPr>
        <w:t xml:space="preserve"> </w:t>
      </w:r>
      <w:r>
        <w:rPr>
          <w:sz w:val="24"/>
        </w:rPr>
        <w:t>NewDelhi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2662"/>
    <w:multiLevelType w:val="hybridMultilevel"/>
    <w:tmpl w:val="66F8B70E"/>
    <w:lvl w:ilvl="0" w:tplc="32AC4D54">
      <w:start w:val="1"/>
      <w:numFmt w:val="decimal"/>
      <w:lvlText w:val="%1."/>
      <w:lvlJc w:val="left"/>
      <w:pPr>
        <w:ind w:left="968" w:hanging="361"/>
        <w:jc w:val="left"/>
      </w:pPr>
      <w:rPr>
        <w:rFonts w:ascii="Calibri" w:eastAsia="Calibri" w:hAnsi="Calibri" w:cs="Calibri" w:hint="default"/>
        <w:b/>
        <w:bCs/>
        <w:spacing w:val="-23"/>
        <w:w w:val="100"/>
        <w:sz w:val="24"/>
        <w:szCs w:val="24"/>
        <w:lang w:val="en-US" w:eastAsia="en-US" w:bidi="ar-SA"/>
      </w:rPr>
    </w:lvl>
    <w:lvl w:ilvl="1" w:tplc="27CE7EB6">
      <w:start w:val="1"/>
      <w:numFmt w:val="decimal"/>
      <w:lvlText w:val="%2."/>
      <w:lvlJc w:val="left"/>
      <w:pPr>
        <w:ind w:left="1477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7370ECC6">
      <w:numFmt w:val="bullet"/>
      <w:lvlText w:val="•"/>
      <w:lvlJc w:val="left"/>
      <w:pPr>
        <w:ind w:left="2423" w:hanging="216"/>
      </w:pPr>
      <w:rPr>
        <w:rFonts w:hint="default"/>
        <w:lang w:val="en-US" w:eastAsia="en-US" w:bidi="ar-SA"/>
      </w:rPr>
    </w:lvl>
    <w:lvl w:ilvl="3" w:tplc="0E72874A">
      <w:numFmt w:val="bullet"/>
      <w:lvlText w:val="•"/>
      <w:lvlJc w:val="left"/>
      <w:pPr>
        <w:ind w:left="3366" w:hanging="216"/>
      </w:pPr>
      <w:rPr>
        <w:rFonts w:hint="default"/>
        <w:lang w:val="en-US" w:eastAsia="en-US" w:bidi="ar-SA"/>
      </w:rPr>
    </w:lvl>
    <w:lvl w:ilvl="4" w:tplc="8B221C14">
      <w:numFmt w:val="bullet"/>
      <w:lvlText w:val="•"/>
      <w:lvlJc w:val="left"/>
      <w:pPr>
        <w:ind w:left="4309" w:hanging="216"/>
      </w:pPr>
      <w:rPr>
        <w:rFonts w:hint="default"/>
        <w:lang w:val="en-US" w:eastAsia="en-US" w:bidi="ar-SA"/>
      </w:rPr>
    </w:lvl>
    <w:lvl w:ilvl="5" w:tplc="6B2CD18C">
      <w:numFmt w:val="bullet"/>
      <w:lvlText w:val="•"/>
      <w:lvlJc w:val="left"/>
      <w:pPr>
        <w:ind w:left="5252" w:hanging="216"/>
      </w:pPr>
      <w:rPr>
        <w:rFonts w:hint="default"/>
        <w:lang w:val="en-US" w:eastAsia="en-US" w:bidi="ar-SA"/>
      </w:rPr>
    </w:lvl>
    <w:lvl w:ilvl="6" w:tplc="A78A05FA">
      <w:numFmt w:val="bullet"/>
      <w:lvlText w:val="•"/>
      <w:lvlJc w:val="left"/>
      <w:pPr>
        <w:ind w:left="6196" w:hanging="216"/>
      </w:pPr>
      <w:rPr>
        <w:rFonts w:hint="default"/>
        <w:lang w:val="en-US" w:eastAsia="en-US" w:bidi="ar-SA"/>
      </w:rPr>
    </w:lvl>
    <w:lvl w:ilvl="7" w:tplc="80EC6B7C">
      <w:numFmt w:val="bullet"/>
      <w:lvlText w:val="•"/>
      <w:lvlJc w:val="left"/>
      <w:pPr>
        <w:ind w:left="7139" w:hanging="216"/>
      </w:pPr>
      <w:rPr>
        <w:rFonts w:hint="default"/>
        <w:lang w:val="en-US" w:eastAsia="en-US" w:bidi="ar-SA"/>
      </w:rPr>
    </w:lvl>
    <w:lvl w:ilvl="8" w:tplc="CF441A66">
      <w:numFmt w:val="bullet"/>
      <w:lvlText w:val="•"/>
      <w:lvlJc w:val="left"/>
      <w:pPr>
        <w:ind w:left="8082" w:hanging="216"/>
      </w:pPr>
      <w:rPr>
        <w:rFonts w:hint="default"/>
        <w:lang w:val="en-US" w:eastAsia="en-US" w:bidi="ar-SA"/>
      </w:rPr>
    </w:lvl>
  </w:abstractNum>
  <w:abstractNum w:abstractNumId="1">
    <w:nsid w:val="0C623872"/>
    <w:multiLevelType w:val="hybridMultilevel"/>
    <w:tmpl w:val="4BB25BDA"/>
    <w:lvl w:ilvl="0" w:tplc="32FE93D6">
      <w:start w:val="1"/>
      <w:numFmt w:val="decimal"/>
      <w:lvlText w:val="%1."/>
      <w:lvlJc w:val="left"/>
      <w:pPr>
        <w:ind w:left="900" w:hanging="361"/>
        <w:jc w:val="left"/>
      </w:pPr>
      <w:rPr>
        <w:rFonts w:hint="default"/>
        <w:b/>
        <w:bCs/>
        <w:spacing w:val="-5"/>
        <w:w w:val="100"/>
        <w:lang w:val="en-US" w:eastAsia="en-US" w:bidi="ar-SA"/>
      </w:rPr>
    </w:lvl>
    <w:lvl w:ilvl="1" w:tplc="0E346788">
      <w:numFmt w:val="bullet"/>
      <w:lvlText w:val=""/>
      <w:lvlJc w:val="left"/>
      <w:pPr>
        <w:ind w:left="1261" w:hanging="361"/>
      </w:pPr>
      <w:rPr>
        <w:rFonts w:hint="default"/>
        <w:w w:val="100"/>
        <w:lang w:val="en-US" w:eastAsia="en-US" w:bidi="ar-SA"/>
      </w:rPr>
    </w:lvl>
    <w:lvl w:ilvl="2" w:tplc="66680FF4">
      <w:numFmt w:val="bullet"/>
      <w:lvlText w:val="o"/>
      <w:lvlJc w:val="left"/>
      <w:pPr>
        <w:ind w:left="19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7A849668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4" w:tplc="ADD8B2B6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5" w:tplc="82128B34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B846EB74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7" w:tplc="4E4A0394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BFF0D1B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68"/>
    <w:rsid w:val="004D4C68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75E80-9D22-415D-B8F1-2627CA5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4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4D4C68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4D4C68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4D4C68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4D4C68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D4C68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4D4C68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4D4C6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4D4C6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D4C6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4C6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D4C68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2021-02-02T16:39:00Z</dcterms:created>
  <dcterms:modified xsi:type="dcterms:W3CDTF">2021-02-02T16:40:00Z</dcterms:modified>
</cp:coreProperties>
</file>